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A3A" w:rsidRPr="00094CF0" w:rsidRDefault="00AD49F0" w:rsidP="00BE1A3A">
      <w:pPr>
        <w:spacing w:line="360" w:lineRule="auto"/>
        <w:rPr>
          <w:b/>
          <w:lang w:val="nl-NL"/>
        </w:rPr>
      </w:pPr>
      <w:r>
        <w:rPr>
          <w:b/>
          <w:lang w:val="nl-NL"/>
        </w:rPr>
        <w:t xml:space="preserve">Referenties </w:t>
      </w:r>
      <w:r w:rsidRPr="00AD49F0">
        <w:rPr>
          <w:b/>
          <w:lang w:val="nl-NL"/>
        </w:rPr>
        <w:t>Ongelijke transfusie bij eeneiige tweelingen</w:t>
      </w:r>
      <w:bookmarkStart w:id="0" w:name="_GoBack"/>
      <w:bookmarkEnd w:id="0"/>
    </w:p>
    <w:p w:rsidR="00BE1A3A" w:rsidRPr="00AD49F0" w:rsidRDefault="00BE1A3A" w:rsidP="00BE1A3A">
      <w:pPr>
        <w:pStyle w:val="EndNoteBibliography"/>
        <w:spacing w:after="0"/>
        <w:rPr>
          <w:lang w:val="en-GB"/>
        </w:rPr>
      </w:pPr>
      <w:r>
        <w:rPr>
          <w:lang w:val="nl-NL"/>
        </w:rPr>
        <w:fldChar w:fldCharType="begin"/>
      </w:r>
      <w:r>
        <w:rPr>
          <w:lang w:val="nl-NL"/>
        </w:rPr>
        <w:instrText xml:space="preserve"> ADDIN EN.REFLIST </w:instrText>
      </w:r>
      <w:r>
        <w:rPr>
          <w:lang w:val="nl-NL"/>
        </w:rPr>
        <w:fldChar w:fldCharType="separate"/>
      </w:r>
      <w:r w:rsidRPr="00224E9D">
        <w:rPr>
          <w:lang w:val="nl-NL"/>
        </w:rPr>
        <w:t>1.</w:t>
      </w:r>
      <w:r w:rsidRPr="00224E9D">
        <w:rPr>
          <w:lang w:val="nl-NL"/>
        </w:rPr>
        <w:tab/>
        <w:t xml:space="preserve">Nederland SPR. Grote Lijnen 1999-2012. </w:t>
      </w:r>
      <w:r w:rsidRPr="00AD49F0">
        <w:rPr>
          <w:lang w:val="en-GB"/>
        </w:rPr>
        <w:t>2013.</w:t>
      </w:r>
    </w:p>
    <w:p w:rsidR="00BE1A3A" w:rsidRPr="00A26FB9" w:rsidRDefault="00BE1A3A" w:rsidP="00BE1A3A">
      <w:pPr>
        <w:pStyle w:val="EndNoteBibliography"/>
        <w:spacing w:after="0"/>
      </w:pPr>
      <w:r w:rsidRPr="00AD49F0">
        <w:rPr>
          <w:lang w:val="en-GB"/>
        </w:rPr>
        <w:t>2.</w:t>
      </w:r>
      <w:r w:rsidRPr="00AD49F0">
        <w:rPr>
          <w:lang w:val="en-GB"/>
        </w:rPr>
        <w:tab/>
        <w:t xml:space="preserve">Lewi L, Jani J, Blickstein I, Huber A, Gucciardo L, Van Mieghem T, et al. </w:t>
      </w:r>
      <w:r w:rsidRPr="00A26FB9">
        <w:t>The outcome of monochorionic diamniotic twin gestations in the era of invasive fetal therapy: a prospective cohort study. Am J Obstet Gynecol. 2008;199(5):514 e1-8.</w:t>
      </w:r>
    </w:p>
    <w:p w:rsidR="00BE1A3A" w:rsidRPr="00A26FB9" w:rsidRDefault="00BE1A3A" w:rsidP="00BE1A3A">
      <w:pPr>
        <w:pStyle w:val="EndNoteBibliography"/>
        <w:spacing w:after="0"/>
      </w:pPr>
      <w:r w:rsidRPr="00A26FB9">
        <w:t>3.</w:t>
      </w:r>
      <w:r w:rsidRPr="00A26FB9">
        <w:tab/>
        <w:t>Berghella V, Kaufmann M. Natural history of twin-twin transfusion syndrome. J Reprod Med. 2001;46(5):480-4.</w:t>
      </w:r>
    </w:p>
    <w:p w:rsidR="00BE1A3A" w:rsidRPr="00224E9D" w:rsidRDefault="00BE1A3A" w:rsidP="00BE1A3A">
      <w:pPr>
        <w:pStyle w:val="EndNoteBibliography"/>
        <w:spacing w:after="0"/>
        <w:rPr>
          <w:lang w:val="nl-NL"/>
        </w:rPr>
      </w:pPr>
      <w:r w:rsidRPr="00A26FB9">
        <w:t>4.</w:t>
      </w:r>
      <w:r w:rsidRPr="00A26FB9">
        <w:tab/>
        <w:t xml:space="preserve">Senat MV, Deprest J, Boulvain M, Paupe A, Winer N, Ville Y. Endoscopic laser surgery versus serial amnioreduction for severe twin-to-twin transfusion syndrome. </w:t>
      </w:r>
      <w:r w:rsidRPr="00224E9D">
        <w:rPr>
          <w:lang w:val="nl-NL"/>
        </w:rPr>
        <w:t>N Engl J Med. 2004;351(2):136-44.</w:t>
      </w:r>
    </w:p>
    <w:p w:rsidR="00BE1A3A" w:rsidRPr="00224E9D" w:rsidRDefault="00BE1A3A" w:rsidP="00BE1A3A">
      <w:pPr>
        <w:pStyle w:val="EndNoteBibliography"/>
        <w:spacing w:after="0"/>
        <w:rPr>
          <w:lang w:val="nl-NL"/>
        </w:rPr>
      </w:pPr>
      <w:r w:rsidRPr="00224E9D">
        <w:rPr>
          <w:lang w:val="nl-NL"/>
        </w:rPr>
        <w:t>5.</w:t>
      </w:r>
      <w:r w:rsidRPr="00224E9D">
        <w:rPr>
          <w:lang w:val="nl-NL"/>
        </w:rPr>
        <w:tab/>
        <w:t xml:space="preserve">Slaghekke F, Lopriore E, Lewi L, Middeldorp JM, van Zwet EW, Weingertner AS, et al. </w:t>
      </w:r>
      <w:r w:rsidRPr="00A26FB9">
        <w:t xml:space="preserve">Fetoscopic laser coagulation of the vascular equator versus selective coagulation for twin-to-twin transfusion syndrome: an open-label randomised controlled trial. </w:t>
      </w:r>
      <w:r w:rsidRPr="00224E9D">
        <w:rPr>
          <w:lang w:val="nl-NL"/>
        </w:rPr>
        <w:t>Lancet. 2014;383(9935):2144-51.</w:t>
      </w:r>
    </w:p>
    <w:p w:rsidR="00BE1A3A" w:rsidRPr="00224E9D" w:rsidRDefault="00BE1A3A" w:rsidP="00BE1A3A">
      <w:pPr>
        <w:pStyle w:val="EndNoteBibliography"/>
        <w:spacing w:after="0"/>
        <w:rPr>
          <w:lang w:val="nl-NL"/>
        </w:rPr>
      </w:pPr>
      <w:r w:rsidRPr="00224E9D">
        <w:rPr>
          <w:lang w:val="nl-NL"/>
        </w:rPr>
        <w:t>6.</w:t>
      </w:r>
      <w:r w:rsidRPr="00224E9D">
        <w:rPr>
          <w:lang w:val="nl-NL"/>
        </w:rPr>
        <w:tab/>
        <w:t xml:space="preserve">Lopriore E, Sueters M, Middeldorp JM, Oepkes D, Vandenbussche FP, Walther FJ. </w:t>
      </w:r>
      <w:r w:rsidRPr="00A26FB9">
        <w:t xml:space="preserve">Neonatal outcome in twin-to-twin transfusion syndrome treated with fetoscopic laser occlusion of vascular anastomoses. </w:t>
      </w:r>
      <w:r w:rsidRPr="00224E9D">
        <w:rPr>
          <w:lang w:val="nl-NL"/>
        </w:rPr>
        <w:t>J Pediatr. 2005;147(5):597-602.</w:t>
      </w:r>
    </w:p>
    <w:p w:rsidR="00BE1A3A" w:rsidRPr="00A26FB9" w:rsidRDefault="00BE1A3A" w:rsidP="00BE1A3A">
      <w:pPr>
        <w:pStyle w:val="EndNoteBibliography"/>
        <w:spacing w:after="0"/>
      </w:pPr>
      <w:r w:rsidRPr="00224E9D">
        <w:rPr>
          <w:lang w:val="nl-NL"/>
        </w:rPr>
        <w:t>7.</w:t>
      </w:r>
      <w:r w:rsidRPr="00224E9D">
        <w:rPr>
          <w:lang w:val="nl-NL"/>
        </w:rPr>
        <w:tab/>
        <w:t xml:space="preserve">Spruijt MS, Lopriore E, Tan R, Slaghekke F, Klumper F, Middeldorp JM, et al. </w:t>
      </w:r>
      <w:r w:rsidRPr="00A26FB9">
        <w:t>Long-Term Neurodevelopmental Outcome in Twin-to-Twin Transfusion Syndrome: Is there still Room for Improvement? J Clin Med. 2019;8(8).</w:t>
      </w:r>
    </w:p>
    <w:p w:rsidR="00BE1A3A" w:rsidRPr="00224E9D" w:rsidRDefault="00BE1A3A" w:rsidP="00BE1A3A">
      <w:pPr>
        <w:pStyle w:val="EndNoteBibliography"/>
        <w:spacing w:after="0"/>
        <w:rPr>
          <w:lang w:val="nl-NL"/>
        </w:rPr>
      </w:pPr>
      <w:r w:rsidRPr="00A26FB9">
        <w:t>8.</w:t>
      </w:r>
      <w:r w:rsidRPr="00A26FB9">
        <w:tab/>
        <w:t xml:space="preserve">van Klink JM, Koopman HM, Rijken M, Middeldorp JM, Oepkes D, Lopriore E. Long-Term Neurodevelopmental Outcome in Survivors of Twin-to-Twin Transfusion Syndrome. </w:t>
      </w:r>
      <w:r w:rsidRPr="00224E9D">
        <w:rPr>
          <w:lang w:val="nl-NL"/>
        </w:rPr>
        <w:t>Twin Res Hum Genet. 2016;19(3):255-61.</w:t>
      </w:r>
    </w:p>
    <w:p w:rsidR="00BE1A3A" w:rsidRPr="00224E9D" w:rsidRDefault="00BE1A3A" w:rsidP="00BE1A3A">
      <w:pPr>
        <w:pStyle w:val="EndNoteBibliography"/>
        <w:spacing w:after="0"/>
        <w:rPr>
          <w:lang w:val="nl-NL"/>
        </w:rPr>
      </w:pPr>
      <w:r w:rsidRPr="00224E9D">
        <w:rPr>
          <w:lang w:val="nl-NL"/>
        </w:rPr>
        <w:t>9.</w:t>
      </w:r>
      <w:r w:rsidRPr="00224E9D">
        <w:rPr>
          <w:lang w:val="nl-NL"/>
        </w:rPr>
        <w:tab/>
        <w:t xml:space="preserve">Lopriore E, Middeldorp JM, Oepkes D, Kanhai HH, Walther FJ, Vandenbussche FP. </w:t>
      </w:r>
      <w:r w:rsidRPr="00A26FB9">
        <w:t xml:space="preserve">Twin anemia-polycythemia sequence in two monochorionic twin pairs without oligo-polyhydramnios sequence. </w:t>
      </w:r>
      <w:r w:rsidRPr="00224E9D">
        <w:rPr>
          <w:lang w:val="nl-NL"/>
        </w:rPr>
        <w:t>Placenta. 2007;28(1):47-51.</w:t>
      </w:r>
    </w:p>
    <w:p w:rsidR="00BE1A3A" w:rsidRPr="00A26FB9" w:rsidRDefault="00BE1A3A" w:rsidP="00BE1A3A">
      <w:pPr>
        <w:pStyle w:val="EndNoteBibliography"/>
        <w:spacing w:after="0"/>
      </w:pPr>
      <w:r w:rsidRPr="00224E9D">
        <w:rPr>
          <w:lang w:val="nl-NL"/>
        </w:rPr>
        <w:t>10.</w:t>
      </w:r>
      <w:r w:rsidRPr="00224E9D">
        <w:rPr>
          <w:lang w:val="nl-NL"/>
        </w:rPr>
        <w:tab/>
        <w:t xml:space="preserve">Tollenaar LSA, Lopriore E, Middeldorp JM, Haak MC, Klumper FJ, Oepkes D, et al. </w:t>
      </w:r>
      <w:r w:rsidRPr="00A26FB9">
        <w:t>Improved antenatal prediction of twin anemia-polycythemia sequence by delta middle cerebral artery peak systolic velocity: a new antenatal classification system. Ultrasound Obstet Gynecol. 2018.</w:t>
      </w:r>
    </w:p>
    <w:p w:rsidR="00BE1A3A" w:rsidRPr="00A26FB9" w:rsidRDefault="00BE1A3A" w:rsidP="00BE1A3A">
      <w:pPr>
        <w:pStyle w:val="EndNoteBibliography"/>
        <w:spacing w:after="0"/>
      </w:pPr>
      <w:r w:rsidRPr="00A26FB9">
        <w:t>11.</w:t>
      </w:r>
      <w:r w:rsidRPr="00A26FB9">
        <w:tab/>
        <w:t xml:space="preserve">Nederlands Trial Register (The Netherlands Trial Register). The TAPS Trial: Fetoscopic Laser Surgery for Twin Anemia Polycythemia Sequence - a multicenter open-label randomized controlled trial  [Available from: </w:t>
      </w:r>
      <w:hyperlink r:id="rId5" w:history="1">
        <w:r w:rsidRPr="00A26FB9">
          <w:rPr>
            <w:rStyle w:val="Hyperlink"/>
          </w:rPr>
          <w:t>https://www.trialregister.nl/trial/6879</w:t>
        </w:r>
      </w:hyperlink>
      <w:r w:rsidRPr="00A26FB9">
        <w:t>.</w:t>
      </w:r>
    </w:p>
    <w:p w:rsidR="00BE1A3A" w:rsidRPr="00224E9D" w:rsidRDefault="00BE1A3A" w:rsidP="00BE1A3A">
      <w:pPr>
        <w:pStyle w:val="EndNoteBibliography"/>
        <w:spacing w:after="0"/>
        <w:rPr>
          <w:lang w:val="nl-NL"/>
        </w:rPr>
      </w:pPr>
      <w:r w:rsidRPr="00224E9D">
        <w:rPr>
          <w:lang w:val="nl-NL"/>
        </w:rPr>
        <w:t>12.</w:t>
      </w:r>
      <w:r w:rsidRPr="00224E9D">
        <w:rPr>
          <w:lang w:val="nl-NL"/>
        </w:rPr>
        <w:tab/>
        <w:t xml:space="preserve">Lopriore E, Slaghekke F, Oepkes D, Middeldorp JM, Vandenbussche FP, Walther FJ. </w:t>
      </w:r>
      <w:r w:rsidRPr="00A26FB9">
        <w:t xml:space="preserve">Hematological characteristics in neonates with twin anemia-polycythemia sequence (TAPS). </w:t>
      </w:r>
      <w:r w:rsidRPr="00224E9D">
        <w:rPr>
          <w:lang w:val="nl-NL"/>
        </w:rPr>
        <w:t>Prenat Diagn. 2010;30(3):251-5.</w:t>
      </w:r>
    </w:p>
    <w:p w:rsidR="00BE1A3A" w:rsidRPr="00A26FB9" w:rsidRDefault="00BE1A3A" w:rsidP="00BE1A3A">
      <w:pPr>
        <w:pStyle w:val="EndNoteBibliography"/>
        <w:spacing w:after="0"/>
      </w:pPr>
      <w:r w:rsidRPr="00224E9D">
        <w:rPr>
          <w:lang w:val="nl-NL"/>
        </w:rPr>
        <w:t>13.</w:t>
      </w:r>
      <w:r w:rsidRPr="00224E9D">
        <w:rPr>
          <w:lang w:val="nl-NL"/>
        </w:rPr>
        <w:tab/>
        <w:t xml:space="preserve">Lopriore E, Slaghekke F, Kersbergen KJ, de Vries LS, Drogtrop AP, Middeldorp JM, et al. </w:t>
      </w:r>
      <w:r w:rsidRPr="00A26FB9">
        <w:t>Severe cerebral injury in a recipient with twin anemia-polycythemia sequence. Ultrasound Obstet Gynecol. 2013;41(6):702-6.</w:t>
      </w:r>
    </w:p>
    <w:p w:rsidR="00BE1A3A" w:rsidRPr="00A26FB9" w:rsidRDefault="00BE1A3A" w:rsidP="00BE1A3A">
      <w:pPr>
        <w:pStyle w:val="EndNoteBibliography"/>
        <w:spacing w:after="0"/>
      </w:pPr>
      <w:r w:rsidRPr="00A26FB9">
        <w:t>14.</w:t>
      </w:r>
      <w:r w:rsidRPr="00A26FB9">
        <w:tab/>
        <w:t>Robyr R, Lewi L, Salomon LJ, Yamamoto M, Bernard JP, Deprest J, et al. Prevalence and management of late fetal complications following successful selective laser coagulation of chorionic plate anastomoses in twin-to-twin transfusion syndrome. Am J Obstet Gynecol. 2006;194(3):796-803.</w:t>
      </w:r>
    </w:p>
    <w:p w:rsidR="00BE1A3A" w:rsidRPr="00224E9D" w:rsidRDefault="00BE1A3A" w:rsidP="00BE1A3A">
      <w:pPr>
        <w:pStyle w:val="EndNoteBibliography"/>
        <w:spacing w:after="0"/>
        <w:rPr>
          <w:lang w:val="nl-NL"/>
        </w:rPr>
      </w:pPr>
      <w:r w:rsidRPr="00A26FB9">
        <w:t>15.</w:t>
      </w:r>
      <w:r w:rsidRPr="00A26FB9">
        <w:tab/>
        <w:t xml:space="preserve">Verbeek L, Slaghekke F, Hulzebos CV, Oepkes D, Walther FJ, Lopriore E. Hypoalbuminemia in donors with twin anemia-polycythemia sequence: a matched case-control study. </w:t>
      </w:r>
      <w:r w:rsidRPr="00224E9D">
        <w:rPr>
          <w:lang w:val="nl-NL"/>
        </w:rPr>
        <w:t>Fetal Diagn Ther. 2013;33(4):241-5.</w:t>
      </w:r>
    </w:p>
    <w:p w:rsidR="00BE1A3A" w:rsidRPr="00224E9D" w:rsidRDefault="00BE1A3A" w:rsidP="00BE1A3A">
      <w:pPr>
        <w:pStyle w:val="EndNoteBibliography"/>
        <w:spacing w:after="0"/>
        <w:rPr>
          <w:lang w:val="nl-NL"/>
        </w:rPr>
      </w:pPr>
      <w:r w:rsidRPr="00224E9D">
        <w:rPr>
          <w:lang w:val="nl-NL"/>
        </w:rPr>
        <w:t>16.</w:t>
      </w:r>
      <w:r w:rsidRPr="00224E9D">
        <w:rPr>
          <w:lang w:val="nl-NL"/>
        </w:rPr>
        <w:tab/>
        <w:t xml:space="preserve">Verbeek L, Slaghekke F, Favre R, Vieujoz M, Cavigioli F, Lista G, et al. </w:t>
      </w:r>
      <w:r w:rsidRPr="00A26FB9">
        <w:t xml:space="preserve">Short-Term Postnatal Renal Function in Twin Anemia-Polycythemia Sequence. </w:t>
      </w:r>
      <w:r w:rsidRPr="00224E9D">
        <w:rPr>
          <w:lang w:val="nl-NL"/>
        </w:rPr>
        <w:t>Fetal Diagn Ther. 2016;39(3):192-7.</w:t>
      </w:r>
    </w:p>
    <w:p w:rsidR="00BE1A3A" w:rsidRPr="00A26FB9" w:rsidRDefault="00BE1A3A" w:rsidP="00BE1A3A">
      <w:pPr>
        <w:pStyle w:val="EndNoteBibliography"/>
      </w:pPr>
      <w:r w:rsidRPr="00224E9D">
        <w:rPr>
          <w:lang w:val="nl-NL"/>
        </w:rPr>
        <w:t>17.</w:t>
      </w:r>
      <w:r w:rsidRPr="00224E9D">
        <w:rPr>
          <w:lang w:val="nl-NL"/>
        </w:rPr>
        <w:tab/>
        <w:t xml:space="preserve">Tollenaar LSA, Lopriore E, Slaghekke F, Oepkes D, Middeldorp JM, Haak MC, et al. </w:t>
      </w:r>
      <w:r w:rsidRPr="00A26FB9">
        <w:t>High risk of long-term impairment in donor twins with spontaneous twin anemia polycythemia sequence. Ultrasound Obstet Gynecol. 2019.</w:t>
      </w:r>
    </w:p>
    <w:p w:rsidR="00817FB0" w:rsidRDefault="00BE1A3A" w:rsidP="00BE1A3A">
      <w:r>
        <w:rPr>
          <w:lang w:val="nl-NL"/>
        </w:rPr>
        <w:fldChar w:fldCharType="end"/>
      </w:r>
      <w:r>
        <w:rPr>
          <w:lang w:val="nl-NL"/>
        </w:rPr>
        <w:br w:type="page"/>
      </w:r>
    </w:p>
    <w:sectPr w:rsidR="00817F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A3A"/>
    <w:rsid w:val="0028147C"/>
    <w:rsid w:val="00393A13"/>
    <w:rsid w:val="003A05FE"/>
    <w:rsid w:val="00761D01"/>
    <w:rsid w:val="00994DB5"/>
    <w:rsid w:val="00AD49F0"/>
    <w:rsid w:val="00BE1A3A"/>
    <w:rsid w:val="00DC64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E1A3A"/>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ndNoteBibliography">
    <w:name w:val="EndNote Bibliography"/>
    <w:basedOn w:val="Standaard"/>
    <w:link w:val="EndNoteBibliographyChar"/>
    <w:rsid w:val="00BE1A3A"/>
    <w:pPr>
      <w:spacing w:line="240" w:lineRule="auto"/>
    </w:pPr>
    <w:rPr>
      <w:rFonts w:ascii="Calibri" w:hAnsi="Calibri" w:cs="Calibri"/>
      <w:noProof/>
      <w:lang w:val="en-US"/>
    </w:rPr>
  </w:style>
  <w:style w:type="character" w:customStyle="1" w:styleId="EndNoteBibliographyChar">
    <w:name w:val="EndNote Bibliography Char"/>
    <w:basedOn w:val="Standaardalinea-lettertype"/>
    <w:link w:val="EndNoteBibliography"/>
    <w:rsid w:val="00BE1A3A"/>
    <w:rPr>
      <w:rFonts w:ascii="Calibri" w:hAnsi="Calibri" w:cs="Calibri"/>
      <w:noProof/>
      <w:lang w:val="en-US"/>
    </w:rPr>
  </w:style>
  <w:style w:type="character" w:styleId="Hyperlink">
    <w:name w:val="Hyperlink"/>
    <w:basedOn w:val="Standaardalinea-lettertype"/>
    <w:uiPriority w:val="99"/>
    <w:unhideWhenUsed/>
    <w:rsid w:val="00BE1A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E1A3A"/>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ndNoteBibliography">
    <w:name w:val="EndNote Bibliography"/>
    <w:basedOn w:val="Standaard"/>
    <w:link w:val="EndNoteBibliographyChar"/>
    <w:rsid w:val="00BE1A3A"/>
    <w:pPr>
      <w:spacing w:line="240" w:lineRule="auto"/>
    </w:pPr>
    <w:rPr>
      <w:rFonts w:ascii="Calibri" w:hAnsi="Calibri" w:cs="Calibri"/>
      <w:noProof/>
      <w:lang w:val="en-US"/>
    </w:rPr>
  </w:style>
  <w:style w:type="character" w:customStyle="1" w:styleId="EndNoteBibliographyChar">
    <w:name w:val="EndNote Bibliography Char"/>
    <w:basedOn w:val="Standaardalinea-lettertype"/>
    <w:link w:val="EndNoteBibliography"/>
    <w:rsid w:val="00BE1A3A"/>
    <w:rPr>
      <w:rFonts w:ascii="Calibri" w:hAnsi="Calibri" w:cs="Calibri"/>
      <w:noProof/>
      <w:lang w:val="en-US"/>
    </w:rPr>
  </w:style>
  <w:style w:type="character" w:styleId="Hyperlink">
    <w:name w:val="Hyperlink"/>
    <w:basedOn w:val="Standaardalinea-lettertype"/>
    <w:uiPriority w:val="99"/>
    <w:unhideWhenUsed/>
    <w:rsid w:val="00BE1A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rialregister.nl/trial/6879"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3164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Eigenaar</dc:creator>
  <cp:lastModifiedBy>Eigenaar</cp:lastModifiedBy>
  <cp:revision>2</cp:revision>
  <dcterms:created xsi:type="dcterms:W3CDTF">2020-03-05T16:21:00Z</dcterms:created>
  <dcterms:modified xsi:type="dcterms:W3CDTF">2020-03-09T09:47:00Z</dcterms:modified>
</cp:coreProperties>
</file>